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E4" w:rsidRDefault="00D314E4" w:rsidP="00CF741A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314E4" w:rsidRDefault="00D314E4" w:rsidP="00CF741A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Минпромторга России</w:t>
      </w:r>
    </w:p>
    <w:p w:rsidR="00D314E4" w:rsidRPr="00470B7B" w:rsidRDefault="00D314E4" w:rsidP="00CF741A">
      <w:pPr>
        <w:widowControl w:val="0"/>
        <w:ind w:left="6237" w:right="-185"/>
        <w:rPr>
          <w:sz w:val="28"/>
        </w:rPr>
      </w:pPr>
      <w:r>
        <w:rPr>
          <w:sz w:val="28"/>
          <w:szCs w:val="28"/>
        </w:rPr>
        <w:t xml:space="preserve">от «30»  августа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1172</w:t>
      </w:r>
    </w:p>
    <w:p w:rsidR="00D314E4" w:rsidRPr="00470B7B" w:rsidRDefault="00D314E4" w:rsidP="002A6C69">
      <w:pPr>
        <w:widowControl w:val="0"/>
        <w:ind w:right="-185"/>
        <w:rPr>
          <w:sz w:val="28"/>
        </w:rPr>
      </w:pPr>
    </w:p>
    <w:p w:rsidR="00D314E4" w:rsidRPr="00470B7B" w:rsidRDefault="00D314E4" w:rsidP="00272A8D">
      <w:pPr>
        <w:widowControl w:val="0"/>
        <w:ind w:right="-5"/>
        <w:jc w:val="center"/>
        <w:outlineLvl w:val="0"/>
        <w:rPr>
          <w:bCs/>
          <w:sz w:val="28"/>
        </w:rPr>
      </w:pPr>
    </w:p>
    <w:p w:rsidR="00D314E4" w:rsidRPr="00470B7B" w:rsidRDefault="00D314E4" w:rsidP="00272A8D">
      <w:pPr>
        <w:widowControl w:val="0"/>
        <w:ind w:right="-5"/>
        <w:jc w:val="center"/>
        <w:outlineLvl w:val="0"/>
        <w:rPr>
          <w:b/>
          <w:bCs/>
          <w:sz w:val="28"/>
        </w:rPr>
      </w:pPr>
      <w:r w:rsidRPr="00470B7B">
        <w:rPr>
          <w:b/>
          <w:bCs/>
          <w:sz w:val="28"/>
        </w:rPr>
        <w:t xml:space="preserve">УВЕДОМЛЕНИЕ </w:t>
      </w:r>
    </w:p>
    <w:p w:rsidR="00D314E4" w:rsidRPr="00470B7B" w:rsidRDefault="00D314E4" w:rsidP="002A6C69">
      <w:pPr>
        <w:widowControl w:val="0"/>
        <w:ind w:right="-5"/>
        <w:jc w:val="center"/>
        <w:rPr>
          <w:b/>
          <w:bCs/>
          <w:sz w:val="28"/>
        </w:rPr>
      </w:pPr>
      <w:r w:rsidRPr="00470B7B">
        <w:rPr>
          <w:b/>
          <w:bCs/>
          <w:sz w:val="28"/>
        </w:rPr>
        <w:t xml:space="preserve">Министерства промышленности и торговли Российской Федерации </w:t>
      </w:r>
    </w:p>
    <w:p w:rsidR="00D314E4" w:rsidRPr="00470B7B" w:rsidRDefault="00D314E4" w:rsidP="002A6C69">
      <w:pPr>
        <w:pStyle w:val="ac"/>
        <w:widowControl w:val="0"/>
        <w:ind w:left="0" w:right="-5"/>
        <w:rPr>
          <w:b w:val="0"/>
        </w:rPr>
      </w:pPr>
      <w:r w:rsidRPr="00470B7B">
        <w:t xml:space="preserve">«О начале </w:t>
      </w:r>
      <w:r w:rsidRPr="00470B7B">
        <w:rPr>
          <w:szCs w:val="28"/>
        </w:rPr>
        <w:t>антидемпингового расследования в отношении графитированных электродов, происходящих из Индии и ввозимых на единую таможенную территорию Таможенного союза</w:t>
      </w:r>
      <w:r w:rsidRPr="00470B7B">
        <w:t>»</w:t>
      </w:r>
    </w:p>
    <w:p w:rsidR="00D314E4" w:rsidRPr="00470B7B" w:rsidRDefault="00D314E4" w:rsidP="002A6C69">
      <w:pPr>
        <w:pStyle w:val="ac"/>
        <w:widowControl w:val="0"/>
        <w:ind w:left="0" w:right="-5"/>
        <w:rPr>
          <w:b w:val="0"/>
        </w:rPr>
      </w:pPr>
    </w:p>
    <w:p w:rsidR="00D314E4" w:rsidRPr="00470B7B" w:rsidRDefault="00D314E4" w:rsidP="002A6C69">
      <w:pPr>
        <w:pStyle w:val="a5"/>
        <w:widowControl w:val="0"/>
        <w:spacing w:line="360" w:lineRule="auto"/>
        <w:ind w:firstLine="720"/>
        <w:jc w:val="both"/>
        <w:rPr>
          <w:b w:val="0"/>
          <w:bCs/>
        </w:rPr>
      </w:pPr>
      <w:r w:rsidRPr="00470B7B">
        <w:rPr>
          <w:b w:val="0"/>
          <w:bCs/>
          <w:szCs w:val="28"/>
        </w:rPr>
        <w:t>В соответствии с Соглашением о применении специальных защитных, антидемпинговых и компенсационных мер по отношению к третьим странам</w:t>
      </w:r>
      <w:r w:rsidRPr="00470B7B">
        <w:rPr>
          <w:b w:val="0"/>
          <w:bCs/>
          <w:szCs w:val="28"/>
        </w:rPr>
        <w:br/>
        <w:t>от 25 января 2008 года (далее - Соглашение),</w:t>
      </w:r>
      <w:r w:rsidRPr="00470B7B">
        <w:rPr>
          <w:b w:val="0"/>
          <w:szCs w:val="28"/>
        </w:rPr>
        <w:t xml:space="preserve"> Соглашением о порядке применения специальных защитных, антидемпинговых и компенсационных мер в течение переходного периода от 19 ноября 2010 года, Решением Межгоссовета ЕврАзЭс (Высшего органа Таможенного союза) </w:t>
      </w:r>
      <w:r>
        <w:rPr>
          <w:b w:val="0"/>
          <w:szCs w:val="28"/>
        </w:rPr>
        <w:t xml:space="preserve">№ 37 </w:t>
      </w:r>
      <w:r w:rsidRPr="00470B7B">
        <w:rPr>
          <w:b w:val="0"/>
          <w:szCs w:val="28"/>
        </w:rPr>
        <w:t xml:space="preserve">от 21 мая </w:t>
      </w:r>
      <w:smartTag w:uri="urn:schemas-microsoft-com:office:smarttags" w:element="metricconverter">
        <w:smartTagPr>
          <w:attr w:name="ProductID" w:val="2010 г"/>
        </w:smartTagPr>
        <w:r w:rsidRPr="00470B7B">
          <w:rPr>
            <w:b w:val="0"/>
            <w:szCs w:val="28"/>
          </w:rPr>
          <w:t>2010 г</w:t>
        </w:r>
      </w:smartTag>
      <w:r>
        <w:rPr>
          <w:b w:val="0"/>
          <w:szCs w:val="28"/>
        </w:rPr>
        <w:t>.</w:t>
      </w:r>
      <w:r w:rsidRPr="00470B7B">
        <w:rPr>
          <w:b w:val="0"/>
          <w:szCs w:val="28"/>
        </w:rPr>
        <w:t xml:space="preserve">, </w:t>
      </w:r>
      <w:r w:rsidRPr="00470B7B">
        <w:rPr>
          <w:b w:val="0"/>
          <w:bCs/>
          <w:szCs w:val="28"/>
        </w:rPr>
        <w:t xml:space="preserve">пунктом 3 Решения Комиссии Таможенного союза № 339 от 17 августа </w:t>
      </w:r>
      <w:smartTag w:uri="urn:schemas-microsoft-com:office:smarttags" w:element="metricconverter">
        <w:smartTagPr>
          <w:attr w:name="ProductID" w:val="2010 г"/>
        </w:smartTagPr>
        <w:r w:rsidRPr="00470B7B">
          <w:rPr>
            <w:b w:val="0"/>
            <w:bCs/>
            <w:szCs w:val="28"/>
          </w:rPr>
          <w:t>2010 г</w:t>
        </w:r>
      </w:smartTag>
      <w:r w:rsidRPr="00470B7B">
        <w:rPr>
          <w:b w:val="0"/>
          <w:bCs/>
          <w:szCs w:val="28"/>
        </w:rPr>
        <w:t xml:space="preserve">. </w:t>
      </w:r>
      <w:r w:rsidRPr="00470B7B">
        <w:rPr>
          <w:b w:val="0"/>
          <w:bCs/>
        </w:rPr>
        <w:t xml:space="preserve">и на основании результатов рассмотрения заявления, поданного </w:t>
      </w:r>
      <w:r w:rsidRPr="00470B7B">
        <w:rPr>
          <w:b w:val="0"/>
          <w:bCs/>
          <w:szCs w:val="28"/>
        </w:rPr>
        <w:t>ЗАО «ЭНЕРГОПРОМ МЕНЕДЖМЕНТ» от имени ОАО «ЭНЕРГОПРОМ – Новочеркасский электродный завод» и ЗАО «ЭНЕРГОПРОМ – Новосибирский электродный завод»</w:t>
      </w:r>
      <w:r w:rsidRPr="00470B7B">
        <w:rPr>
          <w:b w:val="0"/>
          <w:szCs w:val="28"/>
        </w:rPr>
        <w:t xml:space="preserve"> </w:t>
      </w:r>
      <w:r w:rsidRPr="00470B7B">
        <w:rPr>
          <w:b w:val="0"/>
          <w:bCs/>
        </w:rPr>
        <w:t>(далее – предприятия-заявители), Министерство промышленности и торговли Российской Федерации приняло решение о начале антидемпингового расследования в отношении графитированных электродов, происходящих из Индии и ввозимых на единую таможенную территорию Таможенного союза.</w:t>
      </w:r>
    </w:p>
    <w:p w:rsidR="00D314E4" w:rsidRPr="00470B7B" w:rsidRDefault="00D314E4" w:rsidP="002A6C69">
      <w:pPr>
        <w:pStyle w:val="a5"/>
        <w:widowControl w:val="0"/>
        <w:spacing w:line="360" w:lineRule="auto"/>
        <w:ind w:firstLine="709"/>
        <w:jc w:val="both"/>
        <w:rPr>
          <w:b w:val="0"/>
          <w:bCs/>
          <w:color w:val="000000"/>
        </w:rPr>
      </w:pPr>
      <w:r w:rsidRPr="00470B7B">
        <w:rPr>
          <w:b w:val="0"/>
          <w:bCs/>
          <w:color w:val="000000"/>
        </w:rPr>
        <w:t xml:space="preserve">Дата начала расследования – день публикации настоящего уведомления на официальном сайте Комиссии Таможенного союза. </w:t>
      </w:r>
    </w:p>
    <w:p w:rsidR="00D314E4" w:rsidRPr="00470B7B" w:rsidRDefault="00D314E4" w:rsidP="00B93B48">
      <w:pPr>
        <w:pStyle w:val="21"/>
      </w:pPr>
      <w:r w:rsidRPr="00470B7B">
        <w:t xml:space="preserve">Объектом расследования является электроды графитированные круглого сечения диаметром более </w:t>
      </w:r>
      <w:smartTag w:uri="urn:schemas-microsoft-com:office:smarttags" w:element="metricconverter">
        <w:smartTagPr>
          <w:attr w:name="ProductID" w:val="2010 г"/>
        </w:smartTagPr>
        <w:r w:rsidRPr="00470B7B">
          <w:t>520 мм</w:t>
        </w:r>
      </w:smartTag>
      <w:r w:rsidRPr="00470B7B">
        <w:t xml:space="preserve">, но не более </w:t>
      </w:r>
      <w:smartTag w:uri="urn:schemas-microsoft-com:office:smarttags" w:element="metricconverter">
        <w:smartTagPr>
          <w:attr w:name="ProductID" w:val="2010 г"/>
        </w:smartTagPr>
        <w:r w:rsidRPr="00470B7B">
          <w:t>650 мм</w:t>
        </w:r>
      </w:smartTag>
      <w:r w:rsidRPr="00470B7B">
        <w:t>, или иного поперечного сечения площадью более 2700 кв. см, но не более 3300 кв. см, ввозимые на единую таможенную территорию Таможенного союза (далее – ТТ ТС)</w:t>
      </w:r>
      <w:r>
        <w:t xml:space="preserve"> и</w:t>
      </w:r>
      <w:r w:rsidRPr="00470B7B">
        <w:t xml:space="preserve"> происходящие из Индии, классифицируемые в соответствии с </w:t>
      </w:r>
      <w:r>
        <w:t>Товарной номенклатурой внешнеэкономической деятельности Таможенного союза (далее -</w:t>
      </w:r>
      <w:r w:rsidRPr="00470B7B">
        <w:t xml:space="preserve"> ТН ВЭД ТС</w:t>
      </w:r>
      <w:r>
        <w:t>)</w:t>
      </w:r>
      <w:r w:rsidRPr="00470B7B">
        <w:t xml:space="preserve"> кодом 8545 11 002 0 (далее</w:t>
      </w:r>
      <w:r>
        <w:t> –</w:t>
      </w:r>
      <w:r w:rsidRPr="00470B7B">
        <w:t xml:space="preserve"> графитированные</w:t>
      </w:r>
      <w:r>
        <w:t xml:space="preserve"> </w:t>
      </w:r>
      <w:r w:rsidRPr="00470B7B">
        <w:t>электроды).</w:t>
      </w:r>
    </w:p>
    <w:p w:rsidR="00D314E4" w:rsidRPr="00470B7B" w:rsidRDefault="00D314E4" w:rsidP="00B93B48">
      <w:pPr>
        <w:pStyle w:val="21"/>
      </w:pPr>
      <w:r w:rsidRPr="00470B7B">
        <w:lastRenderedPageBreak/>
        <w:t>До вступл</w:t>
      </w:r>
      <w:r>
        <w:t xml:space="preserve">ения в силу ТН ВЭД ТС, т.е. до </w:t>
      </w:r>
      <w:r w:rsidRPr="00470B7B">
        <w:t>1</w:t>
      </w:r>
      <w:r>
        <w:t xml:space="preserve"> января </w:t>
      </w:r>
      <w:smartTag w:uri="urn:schemas-microsoft-com:office:smarttags" w:element="metricconverter">
        <w:smartTagPr>
          <w:attr w:name="ProductID" w:val="2010 г"/>
        </w:smartTagPr>
        <w:r w:rsidRPr="00470B7B">
          <w:t>2010 г</w:t>
        </w:r>
      </w:smartTag>
      <w:r w:rsidRPr="00470B7B">
        <w:t>., согласно ТН ВЭД России товар относился к той же подсубпозиции - 8545 11 002 0, в соответствии с ТН ВЭД СНГ товар относился к подсубпозиции 8545 11 00</w:t>
      </w:r>
      <w:r>
        <w:t>0</w:t>
      </w:r>
      <w:r w:rsidRPr="00470B7B">
        <w:t>.</w:t>
      </w:r>
    </w:p>
    <w:p w:rsidR="00D314E4" w:rsidRPr="00470B7B" w:rsidRDefault="00D314E4" w:rsidP="007D135F">
      <w:pPr>
        <w:pStyle w:val="21"/>
      </w:pPr>
      <w:r w:rsidRPr="00470B7B">
        <w:t>В соответствии с Международным Стандартом Электротехнической комиссии (IEC) «Графитированные электроды для электродуговых печей - Размеры и обозначения» IЕС — 60239 электрод графитированный определен как электрод для дуговых печей, изготовленный из графита, обточенный цилиндрически и механически, обработанный в области резьбы со стороны каждого торца электрода таким образом, чтобы допустить сборку в виде колонки с использованием ниппеля электрода.</w:t>
      </w:r>
    </w:p>
    <w:p w:rsidR="00D314E4" w:rsidRPr="00470B7B" w:rsidRDefault="00D314E4" w:rsidP="007D135F">
      <w:pPr>
        <w:pStyle w:val="21"/>
      </w:pPr>
      <w:r w:rsidRPr="00470B7B">
        <w:t>Основное применение графитированных электродов - использование в электродуговых печах переменного и постоянного тока различной мощности для производства электростали.</w:t>
      </w:r>
    </w:p>
    <w:p w:rsidR="00D314E4" w:rsidRPr="00470B7B" w:rsidRDefault="00D314E4" w:rsidP="002A6C69">
      <w:pPr>
        <w:pStyle w:val="a5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470B7B">
        <w:rPr>
          <w:b w:val="0"/>
          <w:szCs w:val="28"/>
        </w:rPr>
        <w:t xml:space="preserve">По мнению предприятий-заявителей, графитированные электроды, импортируемые из </w:t>
      </w:r>
      <w:r w:rsidRPr="00470B7B">
        <w:rPr>
          <w:b w:val="0"/>
          <w:bCs/>
        </w:rPr>
        <w:t>Индии</w:t>
      </w:r>
      <w:r w:rsidRPr="00470B7B">
        <w:rPr>
          <w:b w:val="0"/>
          <w:szCs w:val="28"/>
        </w:rPr>
        <w:t xml:space="preserve"> на ТТ ТС, аналогичны по своим техническим характеристикам и способам применения графитированным электродам, производимым в Таможенном союзе. </w:t>
      </w:r>
    </w:p>
    <w:p w:rsidR="00D314E4" w:rsidRPr="00470B7B" w:rsidRDefault="00D314E4" w:rsidP="00203CA2">
      <w:pPr>
        <w:pStyle w:val="21"/>
        <w:ind w:firstLine="709"/>
      </w:pPr>
      <w:r w:rsidRPr="00470B7B">
        <w:t xml:space="preserve">На долю </w:t>
      </w:r>
      <w:bookmarkStart w:id="0" w:name="OLE_LINK1"/>
      <w:bookmarkStart w:id="1" w:name="OLE_LINK2"/>
      <w:r w:rsidRPr="00470B7B">
        <w:t xml:space="preserve">предприятий-заявителей </w:t>
      </w:r>
      <w:bookmarkEnd w:id="0"/>
      <w:bookmarkEnd w:id="1"/>
      <w:r w:rsidRPr="00470B7B">
        <w:t>за период с 2007 по 2010 год</w:t>
      </w:r>
      <w:r w:rsidRPr="00470B7B">
        <w:rPr>
          <w:color w:val="FF0000"/>
        </w:rPr>
        <w:t xml:space="preserve"> </w:t>
      </w:r>
      <w:r w:rsidRPr="00470B7B">
        <w:t>приходилось 100% от общего объема производства графитированных электродов в Таможенном союзе. В соответствии со статьей 2 Соглашения предприятия-заявители составляют отрасль экономики Таможенного союза.</w:t>
      </w:r>
    </w:p>
    <w:p w:rsidR="00D314E4" w:rsidRPr="00470B7B" w:rsidRDefault="00D314E4" w:rsidP="002A6C69">
      <w:pPr>
        <w:pStyle w:val="a7"/>
        <w:widowControl w:val="0"/>
        <w:spacing w:line="360" w:lineRule="auto"/>
        <w:ind w:firstLine="720"/>
      </w:pPr>
      <w:r w:rsidRPr="00470B7B">
        <w:t>Приведенные в заявлении данные свидетельствуют о следующем.</w:t>
      </w:r>
    </w:p>
    <w:p w:rsidR="00D314E4" w:rsidRPr="00470B7B" w:rsidRDefault="00D314E4" w:rsidP="00203CA2">
      <w:pPr>
        <w:pStyle w:val="a7"/>
        <w:spacing w:line="360" w:lineRule="auto"/>
      </w:pPr>
      <w:r w:rsidRPr="00470B7B">
        <w:t xml:space="preserve">1. Наличие демпингового импорта </w:t>
      </w:r>
      <w:r w:rsidRPr="00470B7B">
        <w:rPr>
          <w:iCs/>
        </w:rPr>
        <w:t>графитированных электродов</w:t>
      </w:r>
      <w:r w:rsidRPr="00470B7B">
        <w:t xml:space="preserve">, </w:t>
      </w:r>
      <w:r w:rsidRPr="00470B7B">
        <w:rPr>
          <w:szCs w:val="28"/>
        </w:rPr>
        <w:t xml:space="preserve">происходящих из </w:t>
      </w:r>
      <w:r w:rsidRPr="00470B7B">
        <w:rPr>
          <w:bCs/>
        </w:rPr>
        <w:t>Индии.</w:t>
      </w:r>
    </w:p>
    <w:p w:rsidR="00D314E4" w:rsidRDefault="00D314E4" w:rsidP="006A367C">
      <w:pPr>
        <w:spacing w:line="360" w:lineRule="auto"/>
        <w:ind w:firstLine="709"/>
        <w:jc w:val="both"/>
        <w:rPr>
          <w:sz w:val="28"/>
          <w:szCs w:val="28"/>
        </w:rPr>
      </w:pPr>
      <w:r w:rsidRPr="00470B7B">
        <w:rPr>
          <w:sz w:val="28"/>
        </w:rPr>
        <w:t xml:space="preserve">Объем импорта графитированных электродов, происходящих из Индии и ввозимых на ТТ ТС, в 2010 году по сравнению с 2009 годом вырос на 50,9%, а за период с 2007 по 2010 </w:t>
      </w:r>
      <w:r>
        <w:rPr>
          <w:sz w:val="28"/>
        </w:rPr>
        <w:t>год</w:t>
      </w:r>
      <w:r w:rsidRPr="00470B7B">
        <w:rPr>
          <w:sz w:val="28"/>
        </w:rPr>
        <w:t xml:space="preserve"> вырос более чем в 4 раза.</w:t>
      </w:r>
      <w:r w:rsidRPr="00470B7B">
        <w:rPr>
          <w:sz w:val="28"/>
          <w:szCs w:val="28"/>
        </w:rPr>
        <w:t xml:space="preserve"> Доля графитированных электродов из Индии в общем объеме импорта на ТТ ТС выросла с 5,9% в 2007 году до 23,8% в 2010 году.</w:t>
      </w:r>
    </w:p>
    <w:p w:rsidR="00D314E4" w:rsidRPr="00470B7B" w:rsidRDefault="00D314E4" w:rsidP="00B76AF6">
      <w:pPr>
        <w:spacing w:line="360" w:lineRule="auto"/>
        <w:ind w:firstLine="658"/>
        <w:jc w:val="both"/>
        <w:outlineLvl w:val="1"/>
        <w:rPr>
          <w:sz w:val="28"/>
          <w:szCs w:val="28"/>
        </w:rPr>
      </w:pPr>
      <w:r>
        <w:rPr>
          <w:sz w:val="28"/>
        </w:rPr>
        <w:lastRenderedPageBreak/>
        <w:t xml:space="preserve">В то время, как </w:t>
      </w:r>
      <w:r w:rsidRPr="00A702C1">
        <w:rPr>
          <w:sz w:val="28"/>
        </w:rPr>
        <w:t xml:space="preserve">средневзвешенные </w:t>
      </w:r>
      <w:r>
        <w:rPr>
          <w:sz w:val="28"/>
        </w:rPr>
        <w:t xml:space="preserve">импортные </w:t>
      </w:r>
      <w:r w:rsidRPr="00A702C1">
        <w:rPr>
          <w:sz w:val="28"/>
        </w:rPr>
        <w:t xml:space="preserve">цены </w:t>
      </w:r>
      <w:r>
        <w:rPr>
          <w:sz w:val="28"/>
        </w:rPr>
        <w:t xml:space="preserve">из всех стран на графитированные электроды выросли </w:t>
      </w:r>
      <w:r w:rsidRPr="00A702C1">
        <w:rPr>
          <w:sz w:val="28"/>
        </w:rPr>
        <w:t xml:space="preserve">на </w:t>
      </w:r>
      <w:r>
        <w:rPr>
          <w:sz w:val="28"/>
        </w:rPr>
        <w:t>30,2</w:t>
      </w:r>
      <w:r w:rsidRPr="00A702C1">
        <w:rPr>
          <w:sz w:val="28"/>
        </w:rPr>
        <w:t xml:space="preserve">%, </w:t>
      </w:r>
      <w:r>
        <w:rPr>
          <w:sz w:val="28"/>
        </w:rPr>
        <w:t xml:space="preserve">импортные цены на данный товар, </w:t>
      </w:r>
      <w:r w:rsidRPr="00A702C1">
        <w:rPr>
          <w:sz w:val="28"/>
        </w:rPr>
        <w:t>происходящ</w:t>
      </w:r>
      <w:r>
        <w:rPr>
          <w:sz w:val="28"/>
        </w:rPr>
        <w:t>ий</w:t>
      </w:r>
      <w:r w:rsidRPr="00A702C1">
        <w:rPr>
          <w:sz w:val="28"/>
        </w:rPr>
        <w:t xml:space="preserve"> из </w:t>
      </w:r>
      <w:r>
        <w:rPr>
          <w:sz w:val="28"/>
        </w:rPr>
        <w:t>Индии и ввозимый на ТТ ТС, в 2010 году по сравнению с 2007 годом выросли всего на 9,8%, а в 2010 году по сравнению с 2009 годом наблюдалось снижение цены на данный товар, происходящий из Индии, на 14,4%. Средневзвешенные цены на графитированные электроды, происходящие из Индии и ввозимые на ТТ ТС, были выше средневзвешенных цен из всех стран на данный товар в 2007 году – на 13,5%, в 2008 году - на 7,6% и в 2009 году – на 6,2%. Однако в 2010 году импортные цены на товар происхождением из Индии были ниже импортных цен на товар происхождением из всех стран на 4,5%.</w:t>
      </w:r>
    </w:p>
    <w:p w:rsidR="00D314E4" w:rsidRPr="00470B7B" w:rsidRDefault="00D314E4" w:rsidP="00203CA2">
      <w:pPr>
        <w:pStyle w:val="a7"/>
        <w:spacing w:line="360" w:lineRule="auto"/>
      </w:pPr>
      <w:r w:rsidRPr="00470B7B">
        <w:rPr>
          <w:szCs w:val="28"/>
        </w:rPr>
        <w:t>Поскольку</w:t>
      </w:r>
      <w:r>
        <w:rPr>
          <w:szCs w:val="28"/>
        </w:rPr>
        <w:t>, по информации предприятий-заявителей,</w:t>
      </w:r>
      <w:r w:rsidRPr="00470B7B">
        <w:rPr>
          <w:szCs w:val="28"/>
        </w:rPr>
        <w:t xml:space="preserve"> импорт графитированных электродов происхождением из Индии на ТТ ТС в период с </w:t>
      </w:r>
      <w:r>
        <w:rPr>
          <w:szCs w:val="28"/>
        </w:rPr>
        <w:t xml:space="preserve">                    </w:t>
      </w:r>
      <w:r w:rsidRPr="00470B7B">
        <w:rPr>
          <w:szCs w:val="28"/>
        </w:rPr>
        <w:t xml:space="preserve">2007 по 2010 год осуществляли только две индийские компании HEG Limited </w:t>
      </w:r>
      <w:r>
        <w:rPr>
          <w:szCs w:val="28"/>
        </w:rPr>
        <w:t xml:space="preserve">            </w:t>
      </w:r>
      <w:r w:rsidRPr="00470B7B">
        <w:rPr>
          <w:szCs w:val="28"/>
        </w:rPr>
        <w:t xml:space="preserve">(г. Дели) (далее – </w:t>
      </w:r>
      <w:r w:rsidRPr="00470B7B">
        <w:rPr>
          <w:szCs w:val="28"/>
          <w:lang w:val="en-US"/>
        </w:rPr>
        <w:t>HEG</w:t>
      </w:r>
      <w:r w:rsidRPr="00470B7B">
        <w:rPr>
          <w:szCs w:val="28"/>
        </w:rPr>
        <w:t xml:space="preserve">) и </w:t>
      </w:r>
      <w:r w:rsidRPr="00470B7B">
        <w:rPr>
          <w:szCs w:val="28"/>
          <w:lang w:val="en-US"/>
        </w:rPr>
        <w:t>Graphite</w:t>
      </w:r>
      <w:r w:rsidRPr="00470B7B">
        <w:rPr>
          <w:szCs w:val="28"/>
        </w:rPr>
        <w:t xml:space="preserve"> </w:t>
      </w:r>
      <w:r w:rsidRPr="00470B7B">
        <w:rPr>
          <w:szCs w:val="28"/>
          <w:lang w:val="en-US"/>
        </w:rPr>
        <w:t>India</w:t>
      </w:r>
      <w:r w:rsidRPr="00470B7B">
        <w:rPr>
          <w:szCs w:val="28"/>
        </w:rPr>
        <w:t xml:space="preserve"> </w:t>
      </w:r>
      <w:r w:rsidRPr="00470B7B">
        <w:rPr>
          <w:szCs w:val="28"/>
          <w:lang w:val="en-US"/>
        </w:rPr>
        <w:t>Limited</w:t>
      </w:r>
      <w:r w:rsidRPr="00470B7B">
        <w:rPr>
          <w:szCs w:val="28"/>
        </w:rPr>
        <w:t xml:space="preserve"> (г. Калькутта) (далее – </w:t>
      </w:r>
      <w:r w:rsidRPr="00470B7B">
        <w:rPr>
          <w:szCs w:val="28"/>
          <w:lang w:val="en-US"/>
        </w:rPr>
        <w:t>GIL</w:t>
      </w:r>
      <w:r w:rsidRPr="00470B7B">
        <w:rPr>
          <w:szCs w:val="28"/>
        </w:rPr>
        <w:t>)</w:t>
      </w:r>
      <w:r>
        <w:rPr>
          <w:szCs w:val="28"/>
        </w:rPr>
        <w:t>,</w:t>
      </w:r>
      <w:r w:rsidRPr="00470B7B">
        <w:rPr>
          <w:szCs w:val="28"/>
        </w:rPr>
        <w:t xml:space="preserve"> </w:t>
      </w:r>
      <w:r>
        <w:rPr>
          <w:szCs w:val="28"/>
        </w:rPr>
        <w:t xml:space="preserve">предварительный </w:t>
      </w:r>
      <w:r w:rsidRPr="00470B7B">
        <w:rPr>
          <w:szCs w:val="28"/>
        </w:rPr>
        <w:t xml:space="preserve">расчет размера демпинговой маржи производился для каждого из этих предприятий. </w:t>
      </w:r>
      <w:r w:rsidRPr="00470B7B">
        <w:t xml:space="preserve">По результатам предварительного анализа </w:t>
      </w:r>
      <w:r>
        <w:t>данных, представленных в заявлении,</w:t>
      </w:r>
      <w:r w:rsidRPr="00470B7B">
        <w:t xml:space="preserve"> установлено, что в 2010 году демпинговая маржа при продажах графитированных электродов, происходящих из Индии и ввозимых на ТТ ТС компанией </w:t>
      </w:r>
      <w:r w:rsidRPr="00470B7B">
        <w:rPr>
          <w:lang w:val="en-US"/>
        </w:rPr>
        <w:t>HEG</w:t>
      </w:r>
      <w:r w:rsidRPr="00470B7B">
        <w:t xml:space="preserve">, составила 19,47%, а ввозимых компанией </w:t>
      </w:r>
      <w:r w:rsidRPr="00470B7B">
        <w:rPr>
          <w:lang w:val="en-US"/>
        </w:rPr>
        <w:t>GIL</w:t>
      </w:r>
      <w:r w:rsidRPr="00470B7B">
        <w:t xml:space="preserve"> – 24,37%.</w:t>
      </w:r>
    </w:p>
    <w:p w:rsidR="00D314E4" w:rsidRPr="00470B7B" w:rsidRDefault="00D314E4" w:rsidP="00470B7B">
      <w:pPr>
        <w:spacing w:line="360" w:lineRule="auto"/>
        <w:ind w:firstLine="708"/>
        <w:jc w:val="both"/>
        <w:rPr>
          <w:sz w:val="28"/>
          <w:szCs w:val="28"/>
        </w:rPr>
      </w:pPr>
      <w:r w:rsidRPr="00470B7B">
        <w:rPr>
          <w:color w:val="000000"/>
          <w:sz w:val="28"/>
          <w:szCs w:val="28"/>
        </w:rPr>
        <w:t>2. </w:t>
      </w:r>
      <w:r w:rsidRPr="00470B7B">
        <w:rPr>
          <w:sz w:val="28"/>
          <w:szCs w:val="28"/>
        </w:rPr>
        <w:t>Наличие угрозы причинения материального ущерба отрасли экономики Таможенного союза.</w:t>
      </w:r>
    </w:p>
    <w:p w:rsidR="00D314E4" w:rsidRPr="00470B7B" w:rsidRDefault="00D314E4" w:rsidP="00470B7B">
      <w:pPr>
        <w:pStyle w:val="a5"/>
        <w:spacing w:line="360" w:lineRule="auto"/>
        <w:ind w:firstLine="708"/>
        <w:jc w:val="both"/>
        <w:rPr>
          <w:b w:val="0"/>
        </w:rPr>
      </w:pPr>
      <w:r w:rsidRPr="00470B7B">
        <w:rPr>
          <w:b w:val="0"/>
        </w:rPr>
        <w:t xml:space="preserve">В период с 2007 по 2010 год наблюдалась отрицательная динамика по следующим показателям: объем потребления графитированных электродов на                      ТТ ТС сократился на 8,5%, объем производства – на 41,7%, и объем реализации графитированных электродов на рынке Таможенного союза – на 35,2%. </w:t>
      </w:r>
    </w:p>
    <w:p w:rsidR="00D314E4" w:rsidRPr="00470B7B" w:rsidRDefault="00D314E4" w:rsidP="00470B7B">
      <w:pPr>
        <w:pStyle w:val="a5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В период с 2007 по 2010 год н</w:t>
      </w:r>
      <w:r w:rsidRPr="00470B7B">
        <w:rPr>
          <w:b w:val="0"/>
        </w:rPr>
        <w:t xml:space="preserve">а фоне роста импортных поставок наблюдалось сокращение </w:t>
      </w:r>
      <w:r>
        <w:rPr>
          <w:b w:val="0"/>
        </w:rPr>
        <w:t xml:space="preserve">(8,1 процентных пункта) </w:t>
      </w:r>
      <w:r w:rsidRPr="00470B7B">
        <w:rPr>
          <w:b w:val="0"/>
        </w:rPr>
        <w:t>доли графитированных электродов, произведенных и реализова</w:t>
      </w:r>
      <w:r>
        <w:rPr>
          <w:b w:val="0"/>
        </w:rPr>
        <w:t>нных на рынке Таможенного союза</w:t>
      </w:r>
      <w:r w:rsidRPr="00470B7B">
        <w:rPr>
          <w:b w:val="0"/>
        </w:rPr>
        <w:t>.</w:t>
      </w:r>
    </w:p>
    <w:p w:rsidR="00D314E4" w:rsidRPr="00470B7B" w:rsidRDefault="00D314E4" w:rsidP="00470B7B">
      <w:pPr>
        <w:pStyle w:val="a5"/>
        <w:spacing w:line="360" w:lineRule="auto"/>
        <w:ind w:firstLine="708"/>
        <w:jc w:val="both"/>
        <w:rPr>
          <w:b w:val="0"/>
        </w:rPr>
      </w:pPr>
      <w:r w:rsidRPr="00470B7B">
        <w:rPr>
          <w:b w:val="0"/>
        </w:rPr>
        <w:lastRenderedPageBreak/>
        <w:t>Также в период с 2007 по 2010 год отмечалось снижение объема экспортных поставок на 54,6%. Удельный вес экспорта в общем объеме производства в анализируемый период сократился на 12 процентных пунктов.</w:t>
      </w:r>
    </w:p>
    <w:p w:rsidR="00D314E4" w:rsidRPr="00470B7B" w:rsidRDefault="00D314E4" w:rsidP="00470B7B">
      <w:pPr>
        <w:pStyle w:val="a5"/>
        <w:spacing w:line="360" w:lineRule="auto"/>
        <w:ind w:firstLine="708"/>
        <w:jc w:val="both"/>
        <w:rPr>
          <w:b w:val="0"/>
        </w:rPr>
      </w:pPr>
      <w:r w:rsidRPr="00470B7B">
        <w:rPr>
          <w:b w:val="0"/>
        </w:rPr>
        <w:t>Степень загрузки производственных мощностей предприятий-заявителей в период с 2007 по 2010 год сократ</w:t>
      </w:r>
      <w:r>
        <w:rPr>
          <w:b w:val="0"/>
        </w:rPr>
        <w:t xml:space="preserve">илась на 16,6 процентных пункта, также за указанный период </w:t>
      </w:r>
      <w:r w:rsidRPr="00470B7B">
        <w:rPr>
          <w:b w:val="0"/>
        </w:rPr>
        <w:t>отмечалось значительное сокращение численности производственно-промышленного персонала на пре</w:t>
      </w:r>
      <w:r>
        <w:rPr>
          <w:b w:val="0"/>
        </w:rPr>
        <w:t>дприятиях-заявителях на 52,0% и р</w:t>
      </w:r>
      <w:r w:rsidRPr="00470B7B">
        <w:rPr>
          <w:b w:val="0"/>
        </w:rPr>
        <w:t>ентабельност</w:t>
      </w:r>
      <w:r>
        <w:rPr>
          <w:b w:val="0"/>
        </w:rPr>
        <w:t xml:space="preserve">и </w:t>
      </w:r>
      <w:r w:rsidRPr="00470B7B">
        <w:rPr>
          <w:b w:val="0"/>
        </w:rPr>
        <w:t xml:space="preserve">продаж на 7,0 процентных пунктов. </w:t>
      </w:r>
    </w:p>
    <w:p w:rsidR="00D314E4" w:rsidRPr="00470B7B" w:rsidRDefault="00D314E4" w:rsidP="00470B7B">
      <w:pPr>
        <w:pStyle w:val="a7"/>
        <w:spacing w:line="360" w:lineRule="auto"/>
        <w:ind w:firstLine="720"/>
        <w:rPr>
          <w:szCs w:val="28"/>
        </w:rPr>
      </w:pPr>
      <w:r w:rsidRPr="00470B7B">
        <w:rPr>
          <w:szCs w:val="28"/>
        </w:rPr>
        <w:t>Цены предприятий-заявителей в долларовом выражении на протяжении                  2007-2009 гг. были ниже импортных цен из Индии. В 2010 году цены на графитированные электроды, ввозимые из Индии, за счет резкого снижения, стали ниже уровня цен предприятий-заявителей.</w:t>
      </w:r>
    </w:p>
    <w:p w:rsidR="00D314E4" w:rsidRPr="00470B7B" w:rsidRDefault="00D314E4" w:rsidP="00470B7B">
      <w:pPr>
        <w:pStyle w:val="a7"/>
        <w:spacing w:line="360" w:lineRule="auto"/>
        <w:ind w:firstLine="720"/>
        <w:rPr>
          <w:szCs w:val="28"/>
        </w:rPr>
      </w:pPr>
      <w:r w:rsidRPr="00470B7B">
        <w:t xml:space="preserve">Анализ рынка графитированных электродов Таможенного союза в  </w:t>
      </w:r>
      <w:r w:rsidRPr="00470B7B">
        <w:rPr>
          <w:szCs w:val="28"/>
        </w:rPr>
        <w:t xml:space="preserve">                    2010 году по сравнению с 2009 годом показал, что рост объема потребления в Таможенном союзе на 33,3% обусловлен резким ростом  объема импортных поставок на ТТ ТС как из всех стран на 38,2%, так и из Индии на 50,9%.</w:t>
      </w:r>
    </w:p>
    <w:p w:rsidR="00D314E4" w:rsidRPr="00470B7B" w:rsidRDefault="00D314E4" w:rsidP="00470B7B">
      <w:pPr>
        <w:pStyle w:val="a7"/>
        <w:spacing w:line="360" w:lineRule="auto"/>
        <w:ind w:firstLine="720"/>
        <w:rPr>
          <w:szCs w:val="28"/>
        </w:rPr>
      </w:pPr>
      <w:r w:rsidRPr="00470B7B">
        <w:rPr>
          <w:szCs w:val="28"/>
        </w:rPr>
        <w:t xml:space="preserve">Также в указанный период отмечается увеличение объема производства на 4,1% и объема реализации графитированных электродов на </w:t>
      </w:r>
      <w:r>
        <w:rPr>
          <w:szCs w:val="28"/>
        </w:rPr>
        <w:t>рынке Таможенного союза</w:t>
      </w:r>
      <w:r w:rsidRPr="00470B7B">
        <w:rPr>
          <w:szCs w:val="28"/>
        </w:rPr>
        <w:t xml:space="preserve"> на 16,3%. Однако, в связи с тем, что темпы роста объема производства и реализации графитированных электродов, произведенных предприятиями-заявителями, отставали от роста рынка, наблюдалось сокращение доли графитированных электродов, реализованных на </w:t>
      </w:r>
      <w:r>
        <w:rPr>
          <w:szCs w:val="28"/>
        </w:rPr>
        <w:t>рынке Таможенного союза,</w:t>
      </w:r>
      <w:r w:rsidRPr="00470B7B">
        <w:rPr>
          <w:szCs w:val="28"/>
        </w:rPr>
        <w:t xml:space="preserve"> еще на 2,9 процентных пункта.</w:t>
      </w:r>
    </w:p>
    <w:p w:rsidR="00D314E4" w:rsidRPr="00470B7B" w:rsidRDefault="00D314E4" w:rsidP="00470B7B">
      <w:pPr>
        <w:pStyle w:val="a7"/>
        <w:spacing w:line="360" w:lineRule="auto"/>
        <w:ind w:firstLine="720"/>
        <w:rPr>
          <w:vanish/>
          <w:szCs w:val="28"/>
          <w:specVanish/>
        </w:rPr>
      </w:pPr>
      <w:r w:rsidRPr="00470B7B">
        <w:rPr>
          <w:szCs w:val="28"/>
        </w:rPr>
        <w:t>Объем экспорта сократился в 2010 году по сравнению с 2009 годом                                  на 21,7%.</w:t>
      </w:r>
    </w:p>
    <w:p w:rsidR="00D314E4" w:rsidRPr="00470B7B" w:rsidRDefault="00D314E4" w:rsidP="00470B7B">
      <w:pPr>
        <w:pStyle w:val="a7"/>
        <w:spacing w:line="360" w:lineRule="auto"/>
        <w:ind w:firstLine="720"/>
        <w:rPr>
          <w:szCs w:val="28"/>
        </w:rPr>
      </w:pPr>
      <w:r w:rsidRPr="00470B7B">
        <w:rPr>
          <w:szCs w:val="28"/>
        </w:rPr>
        <w:t xml:space="preserve"> </w:t>
      </w:r>
    </w:p>
    <w:p w:rsidR="00D314E4" w:rsidRPr="00470B7B" w:rsidRDefault="00D314E4" w:rsidP="00470B7B">
      <w:pPr>
        <w:pStyle w:val="a7"/>
        <w:spacing w:line="360" w:lineRule="auto"/>
        <w:ind w:firstLine="720"/>
        <w:rPr>
          <w:szCs w:val="28"/>
        </w:rPr>
      </w:pPr>
      <w:r w:rsidRPr="00470B7B">
        <w:rPr>
          <w:szCs w:val="28"/>
        </w:rPr>
        <w:t xml:space="preserve">В 2010 году по сравнению с 2009 годом наблюдалось сокращение себестоимости единицы продукции на предприятиях-заявителях                                            на 3,2% и средневзвешенной отпускной цены на предприятиях-заявителях на 7,3%, что сказалось на снижении рентабельности продаж на 3,6 процентных пункта. </w:t>
      </w:r>
    </w:p>
    <w:p w:rsidR="00D314E4" w:rsidRPr="00470B7B" w:rsidRDefault="00D314E4" w:rsidP="00470B7B">
      <w:pPr>
        <w:spacing w:line="360" w:lineRule="auto"/>
        <w:ind w:firstLine="708"/>
        <w:jc w:val="both"/>
        <w:rPr>
          <w:sz w:val="28"/>
          <w:szCs w:val="28"/>
        </w:rPr>
      </w:pPr>
      <w:r w:rsidRPr="00470B7B">
        <w:rPr>
          <w:sz w:val="28"/>
          <w:szCs w:val="28"/>
        </w:rPr>
        <w:lastRenderedPageBreak/>
        <w:t>В анализируемый период цены на импортные графитированные электроды и  графитированные электроды, произведенные в Таможенном союзе, сократились незначительно (на 4,9% и 3,3% соответственно)</w:t>
      </w:r>
      <w:r>
        <w:rPr>
          <w:sz w:val="28"/>
          <w:szCs w:val="28"/>
        </w:rPr>
        <w:t>, при этом</w:t>
      </w:r>
      <w:r w:rsidRPr="00470B7B">
        <w:rPr>
          <w:sz w:val="28"/>
          <w:szCs w:val="28"/>
        </w:rPr>
        <w:t xml:space="preserve"> средневзвешенные цены на графитированные электроды, ввозимые из Индии, сократились в 2010 году по отношению к 2009 году на 14,4%.</w:t>
      </w:r>
    </w:p>
    <w:p w:rsidR="00D314E4" w:rsidRPr="00470B7B" w:rsidRDefault="00D314E4" w:rsidP="00470B7B">
      <w:pPr>
        <w:spacing w:line="360" w:lineRule="auto"/>
        <w:ind w:firstLine="709"/>
        <w:jc w:val="both"/>
        <w:rPr>
          <w:sz w:val="28"/>
          <w:szCs w:val="28"/>
        </w:rPr>
      </w:pPr>
      <w:r w:rsidRPr="00470B7B">
        <w:rPr>
          <w:sz w:val="28"/>
          <w:szCs w:val="28"/>
        </w:rPr>
        <w:t xml:space="preserve">Указанные тенденции привели к тому, что в 2010 году цены на графитированные электроды, произведенные в Таможенном союзе, стали превышать цены на графитированные электроды, ввозимые из Индии, что, с учетом значительного роста поставок из Индии, привело к обострению ценовой конкуренции и сокращению рентабельности продаж и доли предприятий-заявителей </w:t>
      </w:r>
      <w:r>
        <w:rPr>
          <w:sz w:val="28"/>
          <w:szCs w:val="28"/>
        </w:rPr>
        <w:t xml:space="preserve">в объеме потребления </w:t>
      </w:r>
      <w:r w:rsidRPr="00470B7B">
        <w:rPr>
          <w:sz w:val="28"/>
          <w:szCs w:val="28"/>
        </w:rPr>
        <w:t>на ТТ ТС.</w:t>
      </w:r>
      <w:r w:rsidRPr="00470B7B">
        <w:rPr>
          <w:color w:val="000000"/>
          <w:sz w:val="28"/>
          <w:szCs w:val="28"/>
        </w:rPr>
        <w:t xml:space="preserve"> </w:t>
      </w:r>
    </w:p>
    <w:p w:rsidR="00D314E4" w:rsidRPr="00470B7B" w:rsidRDefault="00D314E4" w:rsidP="00F8310B">
      <w:pPr>
        <w:spacing w:line="360" w:lineRule="auto"/>
        <w:ind w:firstLine="709"/>
        <w:jc w:val="both"/>
        <w:rPr>
          <w:sz w:val="28"/>
          <w:szCs w:val="28"/>
        </w:rPr>
      </w:pPr>
      <w:r w:rsidRPr="00470B7B">
        <w:rPr>
          <w:sz w:val="28"/>
          <w:szCs w:val="28"/>
        </w:rPr>
        <w:t>3. Наличие экспортного потенциала у индийских производителей графитированных электродов.</w:t>
      </w:r>
    </w:p>
    <w:p w:rsidR="00D314E4" w:rsidRPr="00470B7B" w:rsidRDefault="00D314E4" w:rsidP="00F8310B">
      <w:pPr>
        <w:spacing w:line="360" w:lineRule="auto"/>
        <w:ind w:firstLine="709"/>
        <w:jc w:val="both"/>
        <w:rPr>
          <w:sz w:val="28"/>
          <w:szCs w:val="28"/>
        </w:rPr>
      </w:pPr>
      <w:r w:rsidRPr="00470B7B">
        <w:rPr>
          <w:sz w:val="28"/>
          <w:szCs w:val="28"/>
        </w:rPr>
        <w:t xml:space="preserve">По данным, представленным в заявлении, производственные мощности компании </w:t>
      </w:r>
      <w:r w:rsidRPr="00470B7B">
        <w:rPr>
          <w:sz w:val="28"/>
          <w:szCs w:val="28"/>
          <w:lang w:val="en-US"/>
        </w:rPr>
        <w:t>HEG</w:t>
      </w:r>
      <w:r w:rsidRPr="00470B7B">
        <w:rPr>
          <w:sz w:val="28"/>
          <w:szCs w:val="28"/>
        </w:rPr>
        <w:t xml:space="preserve"> и </w:t>
      </w:r>
      <w:r w:rsidRPr="00470B7B">
        <w:rPr>
          <w:sz w:val="28"/>
          <w:szCs w:val="28"/>
          <w:lang w:val="en-US"/>
        </w:rPr>
        <w:t>GIL</w:t>
      </w:r>
      <w:r w:rsidRPr="00470B7B">
        <w:rPr>
          <w:sz w:val="28"/>
          <w:szCs w:val="28"/>
        </w:rPr>
        <w:t xml:space="preserve"> в 2011 году возрастут приблизительно на 27%. По данным годовой финансовой отчетности</w:t>
      </w:r>
      <w:r>
        <w:rPr>
          <w:sz w:val="28"/>
          <w:szCs w:val="28"/>
        </w:rPr>
        <w:t xml:space="preserve"> основных индийских компаний</w:t>
      </w:r>
      <w:r w:rsidRPr="00470B7B">
        <w:rPr>
          <w:sz w:val="28"/>
          <w:szCs w:val="28"/>
        </w:rPr>
        <w:t xml:space="preserve"> за 2010 год, доля выручки от осуществления экспортных поставок графитированных электродов в общем объеме выручки компании </w:t>
      </w:r>
      <w:r w:rsidRPr="00470B7B">
        <w:rPr>
          <w:sz w:val="28"/>
          <w:szCs w:val="28"/>
          <w:lang w:val="en-US"/>
        </w:rPr>
        <w:t>HEG</w:t>
      </w:r>
      <w:r w:rsidRPr="00470B7B">
        <w:rPr>
          <w:sz w:val="28"/>
          <w:szCs w:val="28"/>
        </w:rPr>
        <w:t xml:space="preserve"> составила 74%, компании </w:t>
      </w:r>
      <w:r w:rsidRPr="00470B7B">
        <w:rPr>
          <w:sz w:val="28"/>
          <w:szCs w:val="28"/>
          <w:lang w:val="en-US"/>
        </w:rPr>
        <w:t>GIL</w:t>
      </w:r>
      <w:r w:rsidRPr="00470B7B">
        <w:rPr>
          <w:sz w:val="28"/>
          <w:szCs w:val="28"/>
        </w:rPr>
        <w:t xml:space="preserve"> – 45%.</w:t>
      </w:r>
    </w:p>
    <w:p w:rsidR="00D314E4" w:rsidRPr="00470B7B" w:rsidRDefault="00D314E4" w:rsidP="00F8310B">
      <w:pPr>
        <w:spacing w:line="360" w:lineRule="auto"/>
        <w:ind w:firstLine="709"/>
        <w:jc w:val="both"/>
        <w:rPr>
          <w:sz w:val="28"/>
          <w:szCs w:val="28"/>
        </w:rPr>
      </w:pPr>
      <w:r w:rsidRPr="00470B7B">
        <w:rPr>
          <w:sz w:val="28"/>
          <w:szCs w:val="28"/>
        </w:rPr>
        <w:t xml:space="preserve">Учитывая, что США, Бразилия, Мексика и страны-члены ЕС в настоящее время  применяют торговые ограничения в отношении импорта графитированных электродов из Индии, можно сделать вывод, что в случае сокращения импорта графитированных электродов в ЕС и США вероятна переориентация индийского экспорта графитированных электродов </w:t>
      </w:r>
      <w:r>
        <w:rPr>
          <w:sz w:val="28"/>
          <w:szCs w:val="28"/>
        </w:rPr>
        <w:t xml:space="preserve"> с рынков указанных стран на рынок</w:t>
      </w:r>
      <w:r w:rsidRPr="00470B7B">
        <w:rPr>
          <w:sz w:val="28"/>
          <w:szCs w:val="28"/>
        </w:rPr>
        <w:t xml:space="preserve"> Таможенн</w:t>
      </w:r>
      <w:r>
        <w:rPr>
          <w:sz w:val="28"/>
          <w:szCs w:val="28"/>
        </w:rPr>
        <w:t>ого</w:t>
      </w:r>
      <w:r w:rsidRPr="00470B7B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470B7B">
        <w:rPr>
          <w:sz w:val="28"/>
          <w:szCs w:val="28"/>
        </w:rPr>
        <w:t>.</w:t>
      </w:r>
    </w:p>
    <w:p w:rsidR="00D314E4" w:rsidRPr="00470B7B" w:rsidRDefault="00D314E4" w:rsidP="00951A09">
      <w:pPr>
        <w:widowControl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70B7B">
        <w:rPr>
          <w:iCs/>
          <w:sz w:val="28"/>
          <w:szCs w:val="28"/>
        </w:rPr>
        <w:t xml:space="preserve">Исходя из представленных предприятиями-заявителями материалов, других факторов, </w:t>
      </w:r>
      <w:r w:rsidRPr="00470B7B">
        <w:rPr>
          <w:sz w:val="28"/>
          <w:szCs w:val="28"/>
        </w:rPr>
        <w:t xml:space="preserve">негативно влиявших на положение отрасли экономики Таможенного союза в 2010 году и создающих угрозу причинения материального ущерба отрасли экономики Таможенного союза, </w:t>
      </w:r>
      <w:r w:rsidRPr="00470B7B">
        <w:rPr>
          <w:iCs/>
          <w:sz w:val="28"/>
          <w:szCs w:val="28"/>
        </w:rPr>
        <w:t>не выявлено.</w:t>
      </w:r>
    </w:p>
    <w:p w:rsidR="00D314E4" w:rsidRPr="00470B7B" w:rsidRDefault="00D314E4" w:rsidP="00951A09">
      <w:pPr>
        <w:widowControl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470B7B">
        <w:rPr>
          <w:sz w:val="28"/>
          <w:szCs w:val="28"/>
        </w:rPr>
        <w:t xml:space="preserve">Таким образом, сложившаяся ситуация в отрасли экономики Таможенного союза, с учетом продолжающегося роста импортных поставок </w:t>
      </w:r>
      <w:r>
        <w:rPr>
          <w:sz w:val="28"/>
          <w:szCs w:val="28"/>
        </w:rPr>
        <w:t>г</w:t>
      </w:r>
      <w:r w:rsidRPr="00470B7B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470B7B">
        <w:rPr>
          <w:sz w:val="28"/>
          <w:szCs w:val="28"/>
        </w:rPr>
        <w:t xml:space="preserve">фитированных </w:t>
      </w:r>
      <w:r w:rsidRPr="00470B7B">
        <w:rPr>
          <w:sz w:val="28"/>
          <w:szCs w:val="28"/>
        </w:rPr>
        <w:lastRenderedPageBreak/>
        <w:t>электродов по демпинговым ценам и наличие экспортного потенциала индийских производителей, свидетельствуют об угрозе причинения материального ущерба отрасли экономики Таможенного союза вследствие демпингового импорта графитированных электродов, происходящих из Индии.</w:t>
      </w:r>
    </w:p>
    <w:p w:rsidR="00D314E4" w:rsidRPr="00470B7B" w:rsidRDefault="00D314E4" w:rsidP="002A6C69">
      <w:pPr>
        <w:pStyle w:val="a7"/>
        <w:widowControl w:val="0"/>
        <w:spacing w:line="360" w:lineRule="auto"/>
      </w:pPr>
      <w:r w:rsidRPr="00470B7B">
        <w:t xml:space="preserve">В соответствии с Соглашением наличие указанных условий является основанием для принятия решения о начале антидемпингового расследования в отношении графитированных электродов, </w:t>
      </w:r>
      <w:r w:rsidRPr="00470B7B">
        <w:rPr>
          <w:szCs w:val="28"/>
        </w:rPr>
        <w:t xml:space="preserve">происходящих из </w:t>
      </w:r>
      <w:r w:rsidRPr="00470B7B">
        <w:rPr>
          <w:bCs/>
          <w:szCs w:val="28"/>
        </w:rPr>
        <w:t>Индии</w:t>
      </w:r>
      <w:r w:rsidRPr="00470B7B">
        <w:rPr>
          <w:szCs w:val="28"/>
        </w:rPr>
        <w:t xml:space="preserve"> </w:t>
      </w:r>
      <w:r w:rsidRPr="00470B7B">
        <w:t>и ввозимых на ТТ ТС.</w:t>
      </w:r>
    </w:p>
    <w:p w:rsidR="00D314E4" w:rsidRPr="00470B7B" w:rsidRDefault="00D314E4" w:rsidP="002A6C69">
      <w:pPr>
        <w:pStyle w:val="a7"/>
        <w:widowControl w:val="0"/>
        <w:spacing w:line="360" w:lineRule="auto"/>
        <w:rPr>
          <w:bCs/>
          <w:szCs w:val="28"/>
        </w:rPr>
      </w:pPr>
      <w:r w:rsidRPr="00470B7B">
        <w:rPr>
          <w:szCs w:val="28"/>
        </w:rPr>
        <w:t>Заинтересованные лица, указанные в статье 36 Соглашения, могут в</w:t>
      </w:r>
      <w:r w:rsidRPr="00470B7B">
        <w:rPr>
          <w:bCs/>
          <w:szCs w:val="28"/>
        </w:rPr>
        <w:t xml:space="preserve"> течение 90 календарных дней </w:t>
      </w:r>
      <w:r w:rsidRPr="00470B7B">
        <w:rPr>
          <w:szCs w:val="28"/>
        </w:rPr>
        <w:t>со дня начала</w:t>
      </w:r>
      <w:r w:rsidRPr="00470B7B">
        <w:rPr>
          <w:bCs/>
          <w:szCs w:val="28"/>
        </w:rPr>
        <w:t xml:space="preserve"> расследования представить свое мнение и относящиеся к расследованию сведения (в письменной форме, на русском языке, в конфиденциальной и неконфиденциальной версиях) в Министерство промышленности и торговли Российской Федерации по адресу: 109074, Москва, Китайгородский проезд, д. 7. Контактные телефоны: (495) 632-80-43,</w:t>
      </w:r>
      <w:r w:rsidRPr="00470B7B">
        <w:rPr>
          <w:bCs/>
          <w:szCs w:val="28"/>
        </w:rPr>
        <w:br/>
        <w:t>(495) 632-86-96, (495) 632-89-32</w:t>
      </w:r>
      <w:r>
        <w:rPr>
          <w:bCs/>
          <w:szCs w:val="28"/>
        </w:rPr>
        <w:t>, (495) 632-89-39.</w:t>
      </w:r>
    </w:p>
    <w:p w:rsidR="00D314E4" w:rsidRPr="00470B7B" w:rsidRDefault="00D314E4" w:rsidP="002A6C69">
      <w:pPr>
        <w:pStyle w:val="a7"/>
        <w:widowControl w:val="0"/>
        <w:spacing w:line="360" w:lineRule="auto"/>
      </w:pPr>
      <w:r w:rsidRPr="00470B7B">
        <w:t xml:space="preserve">Для получения возможности ознакомления с неконфиденциальными материалами расследования, участия в публичных слушаниях и переговорах у заинтересованных лиц есть возможность в соответствии с частью 5 статьи 30 Соглашения заявить о своем намерении получить статус участника расследования. Участники расследования в течение 90 календарных дней со дня начала расследования могут ходатайствовать о проведении публичных слушаний, предусмотренных статьей 34 Соглашения, а также о проведении переговоров, предусмотренных частями 10 и 11 статьи 30 Соглашения. </w:t>
      </w:r>
    </w:p>
    <w:p w:rsidR="00D314E4" w:rsidRPr="00470B7B" w:rsidRDefault="00D314E4" w:rsidP="002A6C69">
      <w:pPr>
        <w:widowControl w:val="0"/>
      </w:pPr>
    </w:p>
    <w:sectPr w:rsidR="00D314E4" w:rsidRPr="00470B7B" w:rsidSect="00556904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CF" w:rsidRDefault="00D05BCF">
      <w:r>
        <w:separator/>
      </w:r>
    </w:p>
  </w:endnote>
  <w:endnote w:type="continuationSeparator" w:id="0">
    <w:p w:rsidR="00D05BCF" w:rsidRDefault="00D0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CF" w:rsidRDefault="00D05BCF">
      <w:r>
        <w:separator/>
      </w:r>
    </w:p>
  </w:footnote>
  <w:footnote w:type="continuationSeparator" w:id="0">
    <w:p w:rsidR="00D05BCF" w:rsidRDefault="00D0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E4" w:rsidRDefault="0045374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14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14E4" w:rsidRDefault="00D314E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E4" w:rsidRDefault="0045374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14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2FCF">
      <w:rPr>
        <w:rStyle w:val="ab"/>
        <w:noProof/>
      </w:rPr>
      <w:t>2</w:t>
    </w:r>
    <w:r>
      <w:rPr>
        <w:rStyle w:val="ab"/>
      </w:rPr>
      <w:fldChar w:fldCharType="end"/>
    </w:r>
  </w:p>
  <w:p w:rsidR="00D314E4" w:rsidRDefault="00D314E4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904"/>
    <w:rsid w:val="000913A3"/>
    <w:rsid w:val="00097831"/>
    <w:rsid w:val="000E3479"/>
    <w:rsid w:val="000E7F9E"/>
    <w:rsid w:val="001075A5"/>
    <w:rsid w:val="00120F21"/>
    <w:rsid w:val="0013231B"/>
    <w:rsid w:val="00133C75"/>
    <w:rsid w:val="00147E58"/>
    <w:rsid w:val="001540A1"/>
    <w:rsid w:val="00170414"/>
    <w:rsid w:val="00170EF6"/>
    <w:rsid w:val="00176C2D"/>
    <w:rsid w:val="001A5BB0"/>
    <w:rsid w:val="001A6F6A"/>
    <w:rsid w:val="001C0437"/>
    <w:rsid w:val="001C5FD9"/>
    <w:rsid w:val="001C7AE1"/>
    <w:rsid w:val="001E5350"/>
    <w:rsid w:val="001F30E3"/>
    <w:rsid w:val="00203CA2"/>
    <w:rsid w:val="0024742E"/>
    <w:rsid w:val="00266139"/>
    <w:rsid w:val="002706AE"/>
    <w:rsid w:val="00272A8D"/>
    <w:rsid w:val="00284697"/>
    <w:rsid w:val="002A1EEA"/>
    <w:rsid w:val="002A61D1"/>
    <w:rsid w:val="002A6C69"/>
    <w:rsid w:val="002A75B7"/>
    <w:rsid w:val="002B1CE3"/>
    <w:rsid w:val="002C4CA9"/>
    <w:rsid w:val="002C7A62"/>
    <w:rsid w:val="002D0BCA"/>
    <w:rsid w:val="002E4019"/>
    <w:rsid w:val="002F0CCA"/>
    <w:rsid w:val="002F12C4"/>
    <w:rsid w:val="00300F18"/>
    <w:rsid w:val="00307E88"/>
    <w:rsid w:val="00365058"/>
    <w:rsid w:val="0036535A"/>
    <w:rsid w:val="00372B30"/>
    <w:rsid w:val="00381AC8"/>
    <w:rsid w:val="00397C26"/>
    <w:rsid w:val="003B5658"/>
    <w:rsid w:val="003C0E92"/>
    <w:rsid w:val="003D2798"/>
    <w:rsid w:val="003D730D"/>
    <w:rsid w:val="003E51E5"/>
    <w:rsid w:val="004035A8"/>
    <w:rsid w:val="00410BDA"/>
    <w:rsid w:val="00412C25"/>
    <w:rsid w:val="00453740"/>
    <w:rsid w:val="00464FED"/>
    <w:rsid w:val="00467FDE"/>
    <w:rsid w:val="00470B7B"/>
    <w:rsid w:val="00471877"/>
    <w:rsid w:val="004A63E0"/>
    <w:rsid w:val="004E4CC9"/>
    <w:rsid w:val="004E5A33"/>
    <w:rsid w:val="004F6091"/>
    <w:rsid w:val="004F7E3A"/>
    <w:rsid w:val="004F7FE6"/>
    <w:rsid w:val="00501404"/>
    <w:rsid w:val="00501B6A"/>
    <w:rsid w:val="00515E9C"/>
    <w:rsid w:val="00556904"/>
    <w:rsid w:val="00556F0F"/>
    <w:rsid w:val="0056364A"/>
    <w:rsid w:val="00575EE6"/>
    <w:rsid w:val="00586D8D"/>
    <w:rsid w:val="00591A0B"/>
    <w:rsid w:val="006056E8"/>
    <w:rsid w:val="00614073"/>
    <w:rsid w:val="00614470"/>
    <w:rsid w:val="006660C4"/>
    <w:rsid w:val="00681DF8"/>
    <w:rsid w:val="006840F2"/>
    <w:rsid w:val="006A11CC"/>
    <w:rsid w:val="006A367C"/>
    <w:rsid w:val="006B4590"/>
    <w:rsid w:val="006C03A0"/>
    <w:rsid w:val="006C1ECB"/>
    <w:rsid w:val="006F4DEC"/>
    <w:rsid w:val="00716E4B"/>
    <w:rsid w:val="00736141"/>
    <w:rsid w:val="00736F69"/>
    <w:rsid w:val="00744D1F"/>
    <w:rsid w:val="00753B01"/>
    <w:rsid w:val="00754E99"/>
    <w:rsid w:val="00771059"/>
    <w:rsid w:val="007840F3"/>
    <w:rsid w:val="0079442A"/>
    <w:rsid w:val="007B2F35"/>
    <w:rsid w:val="007B63BA"/>
    <w:rsid w:val="007D135F"/>
    <w:rsid w:val="007E1198"/>
    <w:rsid w:val="008313AE"/>
    <w:rsid w:val="00832DCB"/>
    <w:rsid w:val="00837B12"/>
    <w:rsid w:val="008403EA"/>
    <w:rsid w:val="008411CC"/>
    <w:rsid w:val="0086169C"/>
    <w:rsid w:val="00864F5A"/>
    <w:rsid w:val="00865197"/>
    <w:rsid w:val="00866B5C"/>
    <w:rsid w:val="00883FFA"/>
    <w:rsid w:val="00887FD1"/>
    <w:rsid w:val="00894267"/>
    <w:rsid w:val="008A1350"/>
    <w:rsid w:val="008C701E"/>
    <w:rsid w:val="008E1725"/>
    <w:rsid w:val="008F692B"/>
    <w:rsid w:val="00901DFA"/>
    <w:rsid w:val="00906411"/>
    <w:rsid w:val="00951A09"/>
    <w:rsid w:val="0097780B"/>
    <w:rsid w:val="00984C21"/>
    <w:rsid w:val="00995073"/>
    <w:rsid w:val="009976AE"/>
    <w:rsid w:val="009A16A2"/>
    <w:rsid w:val="009A5692"/>
    <w:rsid w:val="009B417B"/>
    <w:rsid w:val="009C755F"/>
    <w:rsid w:val="009C7C04"/>
    <w:rsid w:val="009E2B69"/>
    <w:rsid w:val="009F4CD6"/>
    <w:rsid w:val="00A2557C"/>
    <w:rsid w:val="00A455D6"/>
    <w:rsid w:val="00A51DDA"/>
    <w:rsid w:val="00A55B3C"/>
    <w:rsid w:val="00A62502"/>
    <w:rsid w:val="00A65AF4"/>
    <w:rsid w:val="00A702C1"/>
    <w:rsid w:val="00A8197C"/>
    <w:rsid w:val="00A8255E"/>
    <w:rsid w:val="00A83A5A"/>
    <w:rsid w:val="00A954AF"/>
    <w:rsid w:val="00AA4CB6"/>
    <w:rsid w:val="00AA73F7"/>
    <w:rsid w:val="00AB7F1F"/>
    <w:rsid w:val="00AE6C52"/>
    <w:rsid w:val="00B16350"/>
    <w:rsid w:val="00B47F06"/>
    <w:rsid w:val="00B62024"/>
    <w:rsid w:val="00B711DC"/>
    <w:rsid w:val="00B76AF6"/>
    <w:rsid w:val="00B77EDB"/>
    <w:rsid w:val="00B80CC1"/>
    <w:rsid w:val="00B821F5"/>
    <w:rsid w:val="00B83F48"/>
    <w:rsid w:val="00B8616A"/>
    <w:rsid w:val="00B93B48"/>
    <w:rsid w:val="00B93F6A"/>
    <w:rsid w:val="00BA3C93"/>
    <w:rsid w:val="00BB30B6"/>
    <w:rsid w:val="00BB7915"/>
    <w:rsid w:val="00BC03D3"/>
    <w:rsid w:val="00BE3806"/>
    <w:rsid w:val="00C00094"/>
    <w:rsid w:val="00C12BAA"/>
    <w:rsid w:val="00C35672"/>
    <w:rsid w:val="00C43E15"/>
    <w:rsid w:val="00C558FC"/>
    <w:rsid w:val="00C80E7F"/>
    <w:rsid w:val="00C96D70"/>
    <w:rsid w:val="00CB3DBA"/>
    <w:rsid w:val="00CC5951"/>
    <w:rsid w:val="00CE6C60"/>
    <w:rsid w:val="00CF741A"/>
    <w:rsid w:val="00D00C87"/>
    <w:rsid w:val="00D01B94"/>
    <w:rsid w:val="00D05BCF"/>
    <w:rsid w:val="00D2041A"/>
    <w:rsid w:val="00D20F59"/>
    <w:rsid w:val="00D21105"/>
    <w:rsid w:val="00D314E4"/>
    <w:rsid w:val="00D5463E"/>
    <w:rsid w:val="00D72B3B"/>
    <w:rsid w:val="00DB55A5"/>
    <w:rsid w:val="00DC0F3F"/>
    <w:rsid w:val="00DC493E"/>
    <w:rsid w:val="00DC6923"/>
    <w:rsid w:val="00DD5C1E"/>
    <w:rsid w:val="00DE0859"/>
    <w:rsid w:val="00E2018B"/>
    <w:rsid w:val="00E20C47"/>
    <w:rsid w:val="00E271C9"/>
    <w:rsid w:val="00E419D3"/>
    <w:rsid w:val="00E43CC2"/>
    <w:rsid w:val="00E4590B"/>
    <w:rsid w:val="00E46D16"/>
    <w:rsid w:val="00E51628"/>
    <w:rsid w:val="00E95909"/>
    <w:rsid w:val="00EB2FD0"/>
    <w:rsid w:val="00EB5EF5"/>
    <w:rsid w:val="00EB617A"/>
    <w:rsid w:val="00EE406B"/>
    <w:rsid w:val="00EF0184"/>
    <w:rsid w:val="00F01E6A"/>
    <w:rsid w:val="00F324B3"/>
    <w:rsid w:val="00F51BF9"/>
    <w:rsid w:val="00F629F8"/>
    <w:rsid w:val="00F82FCF"/>
    <w:rsid w:val="00F8310B"/>
    <w:rsid w:val="00FA3531"/>
    <w:rsid w:val="00FC1C4E"/>
    <w:rsid w:val="00FD0D43"/>
    <w:rsid w:val="00FE2211"/>
    <w:rsid w:val="00FF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0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6141"/>
    <w:pPr>
      <w:keepNext/>
      <w:ind w:left="-180" w:right="-185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4F5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72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4F5A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556904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64F5A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556904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64F5A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569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64F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556904"/>
    <w:rPr>
      <w:rFonts w:cs="Times New Roman"/>
    </w:rPr>
  </w:style>
  <w:style w:type="paragraph" w:styleId="21">
    <w:name w:val="Body Text Indent 2"/>
    <w:basedOn w:val="a"/>
    <w:link w:val="22"/>
    <w:uiPriority w:val="99"/>
    <w:rsid w:val="00556904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64F5A"/>
    <w:rPr>
      <w:rFonts w:cs="Times New Roman"/>
      <w:sz w:val="24"/>
      <w:szCs w:val="24"/>
    </w:rPr>
  </w:style>
  <w:style w:type="paragraph" w:styleId="ac">
    <w:name w:val="Block Text"/>
    <w:basedOn w:val="a"/>
    <w:uiPriority w:val="99"/>
    <w:rsid w:val="00556904"/>
    <w:pPr>
      <w:ind w:left="-180" w:right="-185"/>
      <w:jc w:val="center"/>
    </w:pPr>
    <w:rPr>
      <w:b/>
      <w:bCs/>
      <w:sz w:val="28"/>
    </w:rPr>
  </w:style>
  <w:style w:type="paragraph" w:styleId="ad">
    <w:name w:val="footnote text"/>
    <w:basedOn w:val="a"/>
    <w:link w:val="ae"/>
    <w:uiPriority w:val="99"/>
    <w:semiHidden/>
    <w:rsid w:val="00591A0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8310B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272A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864F5A"/>
    <w:rPr>
      <w:rFonts w:cs="Times New Roman"/>
      <w:sz w:val="2"/>
    </w:rPr>
  </w:style>
  <w:style w:type="character" w:styleId="af1">
    <w:name w:val="footnote reference"/>
    <w:basedOn w:val="a0"/>
    <w:uiPriority w:val="99"/>
    <w:rsid w:val="00F831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973E94FB0AE4EA18A1E53C7EC8564" ma:contentTypeVersion="1" ma:contentTypeDescription="Создание документа." ma:contentTypeScope="" ma:versionID="aa37cbbf1a3bfb9212c9b7e1e6cb8d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888d770d-d3e9-4d60-8267-3c05ab059ef5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  <rca:Converter rca:guid="6dfdc5b4-2a28-4a06-b0c6-ad3901e3a807">
    <rca:property rca:type="InheritParentSettings">False</rca:property>
    <rca:property rca:type="SelectedPageLayout">22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False</rca:property>
    <rca:property rca:type="ConfiguredPageLocation">http://portal.tsouz.ru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71940-E723-4A43-B35A-40097B5AE87B}"/>
</file>

<file path=customXml/itemProps2.xml><?xml version="1.0" encoding="utf-8"?>
<ds:datastoreItem xmlns:ds="http://schemas.openxmlformats.org/officeDocument/2006/customXml" ds:itemID="{27AC116F-B0BF-4052-8D1D-8EA2B80E9702}"/>
</file>

<file path=customXml/itemProps3.xml><?xml version="1.0" encoding="utf-8"?>
<ds:datastoreItem xmlns:ds="http://schemas.openxmlformats.org/officeDocument/2006/customXml" ds:itemID="{E837B135-3623-4716-9986-49056CAE7304}"/>
</file>

<file path=customXml/itemProps4.xml><?xml version="1.0" encoding="utf-8"?>
<ds:datastoreItem xmlns:ds="http://schemas.openxmlformats.org/officeDocument/2006/customXml" ds:itemID="{70DFCEE9-5A04-4C65-9AF5-76FFBD147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9434</Characters>
  <Application>Microsoft Office Word</Application>
  <DocSecurity>0</DocSecurity>
  <Lines>78</Lines>
  <Paragraphs>22</Paragraphs>
  <ScaleCrop>false</ScaleCrop>
  <Company>Economy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subject/>
  <dc:creator>User</dc:creator>
  <cp:keywords/>
  <dc:description/>
  <cp:lastModifiedBy>sklyar</cp:lastModifiedBy>
  <cp:revision>2</cp:revision>
  <cp:lastPrinted>2011-08-30T06:22:00Z</cp:lastPrinted>
  <dcterms:created xsi:type="dcterms:W3CDTF">2011-08-31T12:44:00Z</dcterms:created>
  <dcterms:modified xsi:type="dcterms:W3CDTF">2011-08-31T12:44:00Z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0x010100596973E94FB0AE4EA18A1E53C7EC8564</vt:lpwstr>
  </property>
</Properties>
</file>